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ind w:firstLine="2700" w:firstLineChars="750"/>
        <w:rPr>
          <w:rFonts w:ascii="宋体" w:hAnsi="宋体"/>
          <w:color w:val="auto"/>
          <w:sz w:val="36"/>
          <w:szCs w:val="36"/>
          <w:highlight w:val="none"/>
        </w:rPr>
      </w:pPr>
    </w:p>
    <w:p>
      <w:pPr>
        <w:spacing w:line="0" w:lineRule="atLeast"/>
        <w:jc w:val="center"/>
        <w:rPr>
          <w:rFonts w:ascii="宋体" w:hAnsi="宋体"/>
          <w:color w:val="auto"/>
          <w:sz w:val="36"/>
          <w:szCs w:val="36"/>
          <w:highlight w:val="none"/>
        </w:rPr>
      </w:pPr>
      <w:r>
        <w:rPr>
          <w:rFonts w:hint="eastAsia" w:ascii="宋体" w:hAnsi="宋体"/>
          <w:color w:val="auto"/>
          <w:sz w:val="36"/>
          <w:szCs w:val="36"/>
          <w:highlight w:val="none"/>
        </w:rPr>
        <w:t>购 销 合 同</w:t>
      </w:r>
    </w:p>
    <w:p>
      <w:pPr>
        <w:spacing w:line="0" w:lineRule="atLeast"/>
        <w:rPr>
          <w:rFonts w:ascii="仿宋_GB2312" w:eastAsia="仿宋_GB2312"/>
          <w:color w:val="auto"/>
          <w:szCs w:val="21"/>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合同编号：</w:t>
      </w:r>
    </w:p>
    <w:p>
      <w:pPr>
        <w:spacing w:line="360" w:lineRule="auto"/>
        <w:rPr>
          <w:rFonts w:ascii="宋体" w:hAnsi="宋体"/>
          <w:color w:val="auto"/>
          <w:sz w:val="24"/>
          <w:highlight w:val="none"/>
          <w:u w:val="single"/>
        </w:rPr>
      </w:pPr>
      <w:r>
        <w:rPr>
          <w:rFonts w:hint="eastAsia" w:ascii="宋体" w:hAnsi="宋体"/>
          <w:color w:val="auto"/>
          <w:sz w:val="24"/>
          <w:highlight w:val="none"/>
        </w:rPr>
        <w:t>甲方</w:t>
      </w:r>
      <w:r>
        <w:rPr>
          <w:rFonts w:ascii="宋体" w:hAnsi="宋体"/>
          <w:color w:val="auto"/>
          <w:sz w:val="24"/>
          <w:highlight w:val="none"/>
        </w:rPr>
        <w:t>（买方）</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合同签订地点: </w:t>
      </w:r>
    </w:p>
    <w:p>
      <w:pPr>
        <w:spacing w:line="360" w:lineRule="auto"/>
        <w:rPr>
          <w:rFonts w:ascii="宋体" w:hAnsi="宋体"/>
          <w:color w:val="auto"/>
          <w:sz w:val="24"/>
          <w:highlight w:val="none"/>
        </w:rPr>
      </w:pPr>
      <w:r>
        <w:rPr>
          <w:rFonts w:hint="eastAsia" w:ascii="宋体" w:hAnsi="宋体"/>
          <w:color w:val="auto"/>
          <w:sz w:val="24"/>
          <w:highlight w:val="none"/>
        </w:rPr>
        <w:t>乙方</w:t>
      </w:r>
      <w:r>
        <w:rPr>
          <w:rFonts w:ascii="宋体" w:hAnsi="宋体"/>
          <w:color w:val="auto"/>
          <w:sz w:val="24"/>
          <w:highlight w:val="none"/>
        </w:rPr>
        <w:t>（卖方）</w:t>
      </w:r>
      <w:r>
        <w:rPr>
          <w:rFonts w:hint="eastAsia" w:ascii="宋体" w:hAnsi="宋体"/>
          <w:color w:val="auto"/>
          <w:sz w:val="24"/>
          <w:highlight w:val="none"/>
        </w:rPr>
        <w:t>：                                      合同签订日期：</w:t>
      </w:r>
      <w:bookmarkStart w:id="0" w:name="_GoBack"/>
      <w:bookmarkEnd w:id="0"/>
    </w:p>
    <w:p>
      <w:pPr>
        <w:pStyle w:val="12"/>
        <w:spacing w:line="360" w:lineRule="auto"/>
        <w:ind w:firstLine="480"/>
        <w:rPr>
          <w:rFonts w:ascii="宋体" w:hAnsi="宋体"/>
          <w:color w:val="auto"/>
          <w:sz w:val="24"/>
          <w:highlight w:val="none"/>
        </w:rPr>
      </w:pPr>
      <w:r>
        <w:rPr>
          <w:rFonts w:hint="eastAsia" w:ascii="宋体" w:hAnsi="宋体"/>
          <w:color w:val="auto"/>
          <w:sz w:val="24"/>
          <w:highlight w:val="none"/>
        </w:rPr>
        <w:t>依据中华人民共和国现行法律，甲方愿意购买、乙方愿意提供以下货物及服务，甲乙双方就以下条款达成协议：</w:t>
      </w:r>
    </w:p>
    <w:p>
      <w:pPr>
        <w:numPr>
          <w:ilvl w:val="0"/>
          <w:numId w:val="1"/>
        </w:numPr>
        <w:rPr>
          <w:rFonts w:ascii="宋体" w:hAnsi="宋体"/>
          <w:b/>
          <w:color w:val="auto"/>
          <w:sz w:val="24"/>
          <w:highlight w:val="none"/>
        </w:rPr>
      </w:pPr>
      <w:r>
        <w:rPr>
          <w:rFonts w:hint="eastAsia" w:ascii="宋体" w:hAnsi="宋体"/>
          <w:b/>
          <w:color w:val="auto"/>
          <w:sz w:val="24"/>
          <w:highlight w:val="none"/>
        </w:rPr>
        <w:t>产品及货物名称、数量、价格</w:t>
      </w:r>
      <w:r>
        <w:rPr>
          <w:rFonts w:hint="eastAsia" w:ascii="宋体" w:hAnsi="宋体"/>
          <w:b/>
          <w:color w:val="auto"/>
          <w:sz w:val="24"/>
          <w:highlight w:val="none"/>
          <w:lang w:eastAsia="zh-CN"/>
        </w:rPr>
        <w:t>（以喀期玛商城订单为准）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58"/>
        <w:gridCol w:w="1357"/>
        <w:gridCol w:w="1215"/>
        <w:gridCol w:w="182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6"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序号</w:t>
            </w:r>
          </w:p>
        </w:tc>
        <w:tc>
          <w:tcPr>
            <w:tcW w:w="1658"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产品编号</w:t>
            </w:r>
          </w:p>
        </w:tc>
        <w:tc>
          <w:tcPr>
            <w:tcW w:w="1357"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产品名称</w:t>
            </w:r>
          </w:p>
        </w:tc>
        <w:tc>
          <w:tcPr>
            <w:tcW w:w="1215"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生产厂家</w:t>
            </w:r>
          </w:p>
        </w:tc>
        <w:tc>
          <w:tcPr>
            <w:tcW w:w="1822"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数量</w:t>
            </w:r>
          </w:p>
        </w:tc>
        <w:tc>
          <w:tcPr>
            <w:tcW w:w="1764" w:type="dxa"/>
            <w:vAlign w:val="center"/>
          </w:tcPr>
          <w:p>
            <w:pPr>
              <w:snapToGrid w:val="0"/>
              <w:spacing w:line="360" w:lineRule="auto"/>
              <w:jc w:val="center"/>
              <w:rPr>
                <w:rFonts w:ascii="宋体"/>
                <w:b/>
                <w:bCs/>
                <w:color w:val="auto"/>
                <w:sz w:val="24"/>
                <w:highlight w:val="none"/>
              </w:rPr>
            </w:pPr>
            <w:r>
              <w:rPr>
                <w:rFonts w:hint="eastAsia" w:ascii="宋体"/>
                <w:b/>
                <w:bCs/>
                <w:color w:val="auto"/>
                <w:sz w:val="24"/>
                <w:highlight w:val="none"/>
              </w:rPr>
              <w:t>金额(RMB)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6" w:type="dxa"/>
            <w:vAlign w:val="center"/>
          </w:tcPr>
          <w:p>
            <w:pPr>
              <w:snapToGrid w:val="0"/>
              <w:spacing w:line="360" w:lineRule="auto"/>
              <w:jc w:val="center"/>
              <w:rPr>
                <w:rFonts w:ascii="宋体"/>
                <w:b/>
                <w:color w:val="auto"/>
                <w:sz w:val="24"/>
                <w:highlight w:val="none"/>
              </w:rPr>
            </w:pPr>
            <w:r>
              <w:rPr>
                <w:rFonts w:hint="eastAsia" w:ascii="宋体"/>
                <w:b/>
                <w:color w:val="auto"/>
                <w:sz w:val="24"/>
                <w:highlight w:val="none"/>
              </w:rPr>
              <w:t>1</w:t>
            </w:r>
          </w:p>
        </w:tc>
        <w:tc>
          <w:tcPr>
            <w:tcW w:w="1658" w:type="dxa"/>
            <w:vAlign w:val="center"/>
          </w:tcPr>
          <w:p>
            <w:pPr>
              <w:snapToGrid w:val="0"/>
              <w:spacing w:line="360" w:lineRule="auto"/>
              <w:jc w:val="center"/>
              <w:rPr>
                <w:rFonts w:asciiTheme="minorEastAsia" w:hAnsiTheme="minorEastAsia" w:eastAsiaTheme="minorEastAsia"/>
                <w:b/>
                <w:color w:val="auto"/>
                <w:szCs w:val="21"/>
                <w:highlight w:val="none"/>
                <w:shd w:val="clear" w:color="auto" w:fill="FFFFFF"/>
              </w:rPr>
            </w:pPr>
          </w:p>
        </w:tc>
        <w:tc>
          <w:tcPr>
            <w:tcW w:w="1357" w:type="dxa"/>
            <w:vAlign w:val="center"/>
          </w:tcPr>
          <w:p>
            <w:pPr>
              <w:snapToGrid w:val="0"/>
              <w:jc w:val="center"/>
              <w:rPr>
                <w:rFonts w:asciiTheme="minorEastAsia" w:hAnsiTheme="minorEastAsia" w:eastAsiaTheme="minorEastAsia"/>
                <w:b/>
                <w:color w:val="auto"/>
                <w:szCs w:val="21"/>
                <w:highlight w:val="none"/>
                <w:shd w:val="clear" w:color="auto" w:fill="FFFFFF"/>
              </w:rPr>
            </w:pPr>
          </w:p>
        </w:tc>
        <w:tc>
          <w:tcPr>
            <w:tcW w:w="1215" w:type="dxa"/>
            <w:vAlign w:val="center"/>
          </w:tcPr>
          <w:p>
            <w:pPr>
              <w:snapToGrid w:val="0"/>
              <w:spacing w:line="360" w:lineRule="auto"/>
              <w:jc w:val="center"/>
              <w:rPr>
                <w:rFonts w:ascii="Trebuchet MS" w:hAnsi="Trebuchet MS"/>
                <w:b/>
                <w:color w:val="auto"/>
                <w:sz w:val="24"/>
                <w:highlight w:val="none"/>
                <w:shd w:val="clear" w:color="auto" w:fill="FFFFFF"/>
              </w:rPr>
            </w:pPr>
          </w:p>
        </w:tc>
        <w:tc>
          <w:tcPr>
            <w:tcW w:w="1822" w:type="dxa"/>
            <w:vAlign w:val="center"/>
          </w:tcPr>
          <w:p>
            <w:pPr>
              <w:snapToGrid w:val="0"/>
              <w:spacing w:line="360" w:lineRule="auto"/>
              <w:jc w:val="center"/>
              <w:rPr>
                <w:rFonts w:ascii="宋体"/>
                <w:b/>
                <w:color w:val="auto"/>
                <w:sz w:val="24"/>
                <w:highlight w:val="none"/>
              </w:rPr>
            </w:pPr>
          </w:p>
        </w:tc>
        <w:tc>
          <w:tcPr>
            <w:tcW w:w="1764" w:type="dxa"/>
            <w:vAlign w:val="center"/>
          </w:tcPr>
          <w:p>
            <w:pPr>
              <w:wordWrap w:val="0"/>
              <w:snapToGrid w:val="0"/>
              <w:spacing w:line="360" w:lineRule="auto"/>
              <w:jc w:val="center"/>
              <w:rPr>
                <w:rFonts w:asciiTheme="minorEastAsia" w:hAnsiTheme="minorEastAsia" w:eastAsia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64" w:type="dxa"/>
            <w:gridSpan w:val="2"/>
            <w:vAlign w:val="center"/>
          </w:tcPr>
          <w:p>
            <w:pPr>
              <w:snapToGrid w:val="0"/>
              <w:spacing w:line="360" w:lineRule="auto"/>
              <w:jc w:val="center"/>
              <w:rPr>
                <w:rFonts w:ascii="宋体"/>
                <w:b/>
                <w:color w:val="auto"/>
                <w:sz w:val="24"/>
                <w:highlight w:val="none"/>
              </w:rPr>
            </w:pPr>
            <w:r>
              <w:rPr>
                <w:rFonts w:hint="eastAsia" w:ascii="宋体"/>
                <w:b/>
                <w:color w:val="auto"/>
                <w:sz w:val="24"/>
                <w:highlight w:val="none"/>
              </w:rPr>
              <w:t>合计</w:t>
            </w:r>
          </w:p>
        </w:tc>
        <w:tc>
          <w:tcPr>
            <w:tcW w:w="6158" w:type="dxa"/>
            <w:gridSpan w:val="4"/>
            <w:vAlign w:val="center"/>
          </w:tcPr>
          <w:p>
            <w:pPr>
              <w:snapToGrid w:val="0"/>
              <w:spacing w:line="360" w:lineRule="auto"/>
              <w:ind w:firstLine="1205" w:firstLineChars="500"/>
              <w:jc w:val="center"/>
              <w:rPr>
                <w:rFonts w:ascii="宋体"/>
                <w:b/>
                <w:color w:val="auto"/>
                <w:sz w:val="24"/>
                <w:highlight w:val="none"/>
              </w:rPr>
            </w:pPr>
          </w:p>
        </w:tc>
      </w:tr>
    </w:tbl>
    <w:p>
      <w:pPr>
        <w:rPr>
          <w:rFonts w:ascii="宋体" w:hAnsi="宋体"/>
          <w:b/>
          <w:color w:val="auto"/>
          <w:szCs w:val="21"/>
          <w:highlight w:val="none"/>
        </w:rPr>
      </w:pPr>
    </w:p>
    <w:p>
      <w:pPr>
        <w:numPr>
          <w:ilvl w:val="0"/>
          <w:numId w:val="1"/>
        </w:numPr>
        <w:spacing w:line="360" w:lineRule="auto"/>
        <w:rPr>
          <w:rFonts w:ascii="宋体" w:hAnsi="宋体"/>
          <w:color w:val="auto"/>
          <w:sz w:val="24"/>
          <w:highlight w:val="none"/>
        </w:rPr>
      </w:pPr>
      <w:r>
        <w:rPr>
          <w:rFonts w:hint="eastAsia" w:ascii="宋体" w:hAnsi="宋体"/>
          <w:b/>
          <w:color w:val="auto"/>
          <w:sz w:val="24"/>
          <w:highlight w:val="none"/>
        </w:rPr>
        <w:t>交货的时间及地点：</w:t>
      </w:r>
      <w:r>
        <w:rPr>
          <w:rFonts w:ascii="宋体" w:hAnsi="宋体"/>
          <w:color w:val="auto"/>
          <w:sz w:val="24"/>
          <w:highlight w:val="none"/>
        </w:rPr>
        <w:t>合同签订后</w:t>
      </w:r>
      <w:r>
        <w:rPr>
          <w:rFonts w:ascii="宋体" w:hAnsi="宋体"/>
          <w:b/>
          <w:color w:val="auto"/>
          <w:sz w:val="24"/>
          <w:highlight w:val="none"/>
        </w:rPr>
        <w:t>，</w:t>
      </w:r>
      <w:r>
        <w:rPr>
          <w:rFonts w:hint="eastAsia" w:ascii="宋体" w:hAnsi="宋体"/>
          <w:color w:val="auto"/>
          <w:sz w:val="24"/>
          <w:highlight w:val="none"/>
        </w:rPr>
        <w:t>乙方</w:t>
      </w:r>
      <w:r>
        <w:rPr>
          <w:rFonts w:ascii="宋体" w:hAnsi="宋体"/>
          <w:color w:val="auto"/>
          <w:sz w:val="24"/>
          <w:highlight w:val="none"/>
        </w:rPr>
        <w:t>于</w:t>
      </w:r>
      <w:r>
        <w:rPr>
          <w:rFonts w:hint="eastAsia" w:ascii="宋体" w:hAnsi="宋体"/>
          <w:color w:val="auto"/>
          <w:sz w:val="24"/>
          <w:highlight w:val="none"/>
        </w:rPr>
        <w:t>15个工作日内，将以上清单所列货物送至</w:t>
      </w:r>
      <w:r>
        <w:rPr>
          <w:rFonts w:hint="eastAsia" w:ascii="宋体" w:hAnsi="宋体"/>
          <w:color w:val="auto"/>
          <w:sz w:val="24"/>
          <w:highlight w:val="none"/>
          <w:lang w:eastAsia="zh-CN"/>
        </w:rPr>
        <w:t>甲方</w:t>
      </w:r>
      <w:r>
        <w:rPr>
          <w:rFonts w:hint="eastAsia" w:ascii="宋体" w:hAnsi="宋体"/>
          <w:color w:val="auto"/>
          <w:sz w:val="24"/>
          <w:highlight w:val="none"/>
        </w:rPr>
        <w:t>用户指定地点，并承担运输过程中发生的一切费用</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b/>
          <w:color w:val="auto"/>
          <w:sz w:val="24"/>
          <w:highlight w:val="none"/>
        </w:rPr>
        <w:t>合同款的结算：</w:t>
      </w:r>
      <w:r>
        <w:rPr>
          <w:rFonts w:hint="eastAsia" w:ascii="宋体" w:hAnsi="宋体"/>
          <w:color w:val="auto"/>
          <w:sz w:val="24"/>
          <w:highlight w:val="none"/>
        </w:rPr>
        <w:t>合同款的支付采取银行转账方式，货到验收合格之日起一个月内甲方向乙方</w:t>
      </w:r>
      <w:r>
        <w:rPr>
          <w:rFonts w:hint="eastAsia" w:ascii="宋体" w:hAnsi="宋体"/>
          <w:color w:val="auto"/>
          <w:sz w:val="24"/>
          <w:highlight w:val="none"/>
        </w:rPr>
        <w:t>支付货款的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97</w:t>
      </w:r>
      <w:r>
        <w:rPr>
          <w:rFonts w:ascii="宋体" w:hAnsi="宋体"/>
          <w:color w:val="auto"/>
          <w:sz w:val="24"/>
          <w:highlight w:val="none"/>
          <w:u w:val="single"/>
        </w:rPr>
        <w:t xml:space="preserve"> </w:t>
      </w:r>
      <w:r>
        <w:rPr>
          <w:rFonts w:hint="eastAsia" w:ascii="宋体" w:hAnsi="宋体"/>
          <w:color w:val="auto"/>
          <w:sz w:val="24"/>
          <w:highlight w:val="none"/>
        </w:rPr>
        <w:t>%，余款</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3</w:t>
      </w:r>
      <w:r>
        <w:rPr>
          <w:rFonts w:ascii="宋体" w:hAnsi="宋体"/>
          <w:color w:val="auto"/>
          <w:sz w:val="24"/>
          <w:highlight w:val="none"/>
          <w:u w:val="single"/>
        </w:rPr>
        <w:t xml:space="preserve"> </w:t>
      </w:r>
      <w:r>
        <w:rPr>
          <w:rFonts w:hint="eastAsia" w:ascii="宋体" w:hAnsi="宋体"/>
          <w:color w:val="auto"/>
          <w:sz w:val="24"/>
          <w:highlight w:val="none"/>
        </w:rPr>
        <w:t>%作为质保金，质保期满无质量问题无息支付乙方）</w:t>
      </w:r>
      <w:r>
        <w:rPr>
          <w:rFonts w:hint="eastAsia" w:ascii="宋体" w:hAnsi="宋体"/>
          <w:color w:val="auto"/>
          <w:sz w:val="24"/>
          <w:highlight w:val="none"/>
        </w:rPr>
        <w:t>，乙方提供相当于合同总价款的发票</w:t>
      </w:r>
      <w:r>
        <w:rPr>
          <w:rFonts w:hint="eastAsia" w:ascii="宋体" w:hAnsi="宋体"/>
          <w:color w:val="auto"/>
          <w:sz w:val="24"/>
          <w:highlight w:val="none"/>
        </w:rPr>
        <w:t>，否则不予支付货款</w:t>
      </w:r>
      <w:r>
        <w:rPr>
          <w:rFonts w:hint="eastAsia"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b/>
          <w:color w:val="auto"/>
          <w:sz w:val="24"/>
          <w:highlight w:val="none"/>
        </w:rPr>
        <w:t>合同特别条款：</w:t>
      </w:r>
      <w:r>
        <w:rPr>
          <w:rFonts w:hint="eastAsia" w:ascii="宋体" w:hAnsi="宋体"/>
          <w:color w:val="auto"/>
          <w:sz w:val="24"/>
          <w:highlight w:val="none"/>
        </w:rPr>
        <w:t>产品厂家，型号，规格等技术参数均由甲方选定。若乙方提供的产品厂家，型号等技术参数均符合要求，甲方必须按合同中第三条付款。</w:t>
      </w:r>
      <w:r>
        <w:rPr>
          <w:rFonts w:hint="eastAsia" w:ascii="宋体" w:hAnsi="宋体"/>
          <w:color w:val="auto"/>
          <w:sz w:val="24"/>
          <w:highlight w:val="none"/>
        </w:rPr>
        <w:t>如有其他不易发现部件，在使用过程中发现前述问题，甲方有权随时提出并要求乙方解决</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b/>
          <w:color w:val="auto"/>
          <w:sz w:val="24"/>
          <w:highlight w:val="none"/>
        </w:rPr>
        <w:t>质量保证</w:t>
      </w:r>
      <w:r>
        <w:rPr>
          <w:rFonts w:hint="eastAsia" w:ascii="宋体" w:hAnsi="宋体"/>
          <w:color w:val="auto"/>
          <w:sz w:val="24"/>
          <w:highlight w:val="none"/>
        </w:rPr>
        <w:t>：</w:t>
      </w:r>
    </w:p>
    <w:p>
      <w:pPr>
        <w:spacing w:line="360" w:lineRule="auto"/>
        <w:ind w:left="480"/>
        <w:rPr>
          <w:rFonts w:ascii="宋体" w:hAnsi="宋体"/>
          <w:color w:val="auto"/>
          <w:sz w:val="24"/>
          <w:highlight w:val="none"/>
        </w:rPr>
      </w:pPr>
      <w:r>
        <w:rPr>
          <w:rFonts w:hint="eastAsia" w:ascii="宋体" w:hAnsi="宋体"/>
          <w:b/>
          <w:color w:val="auto"/>
          <w:sz w:val="24"/>
          <w:highlight w:val="none"/>
        </w:rPr>
        <w:t>1</w:t>
      </w:r>
      <w:r>
        <w:rPr>
          <w:rFonts w:hint="eastAsia" w:ascii="宋体" w:hAnsi="宋体"/>
          <w:color w:val="auto"/>
          <w:sz w:val="24"/>
          <w:highlight w:val="none"/>
        </w:rPr>
        <w:t>.乙方所提供的货物必须是原厂生产的、全新的、未使用过的（包括零部件），并符合原厂质量检测标准（以说明书为准）和合同规定的质量规格和性能要求。</w:t>
      </w:r>
    </w:p>
    <w:p>
      <w:pPr>
        <w:tabs>
          <w:tab w:val="left" w:pos="840"/>
        </w:tabs>
        <w:spacing w:line="360" w:lineRule="auto"/>
        <w:ind w:firstLine="600" w:firstLineChars="250"/>
        <w:rPr>
          <w:rFonts w:ascii="宋体" w:hAnsi="宋体"/>
          <w:color w:val="auto"/>
          <w:sz w:val="24"/>
          <w:highlight w:val="none"/>
        </w:rPr>
      </w:pPr>
      <w:r>
        <w:rPr>
          <w:rFonts w:hint="eastAsia" w:ascii="宋体" w:hAnsi="宋体"/>
          <w:color w:val="auto"/>
          <w:sz w:val="24"/>
          <w:highlight w:val="none"/>
        </w:rPr>
        <w:t>2.质保期为货物原厂家规定质保期内</w:t>
      </w:r>
      <w:r>
        <w:rPr>
          <w:rFonts w:ascii="宋体" w:hAnsi="宋体"/>
          <w:color w:val="auto"/>
          <w:sz w:val="24"/>
          <w:highlight w:val="none"/>
        </w:rPr>
        <w:t>，</w:t>
      </w:r>
      <w:r>
        <w:rPr>
          <w:rFonts w:ascii="宋体" w:hAnsi="宋体"/>
          <w:color w:val="auto"/>
          <w:sz w:val="24"/>
          <w:highlight w:val="none"/>
        </w:rPr>
        <w:t>自验收合格之日起开始计算</w:t>
      </w:r>
      <w:r>
        <w:rPr>
          <w:rFonts w:hint="eastAsia" w:ascii="宋体" w:hAnsi="宋体"/>
          <w:color w:val="auto"/>
          <w:sz w:val="24"/>
          <w:highlight w:val="none"/>
        </w:rPr>
        <w:t>。</w:t>
      </w:r>
    </w:p>
    <w:p>
      <w:pPr>
        <w:spacing w:line="360" w:lineRule="auto"/>
        <w:ind w:left="525" w:leftChars="250"/>
        <w:rPr>
          <w:rFonts w:ascii="宋体" w:hAnsi="宋体"/>
          <w:color w:val="auto"/>
          <w:sz w:val="24"/>
          <w:highlight w:val="none"/>
        </w:rPr>
      </w:pPr>
      <w:r>
        <w:rPr>
          <w:rFonts w:hint="eastAsia" w:ascii="宋体" w:hAnsi="宋体"/>
          <w:color w:val="auto"/>
          <w:sz w:val="24"/>
          <w:highlight w:val="none"/>
        </w:rPr>
        <w:t>3.货物在质保期内发生质量问题（人为损坏不在质保范围），甲方应尽快通知乙方。</w:t>
      </w:r>
      <w:r>
        <w:rPr>
          <w:rFonts w:hint="eastAsia" w:ascii="宋体" w:hAnsi="宋体"/>
          <w:b/>
          <w:bCs/>
          <w:color w:val="auto"/>
          <w:sz w:val="24"/>
          <w:highlight w:val="none"/>
        </w:rPr>
        <w:t>乙方</w:t>
      </w:r>
      <w:r>
        <w:rPr>
          <w:rFonts w:hint="eastAsia" w:ascii="宋体" w:hAnsi="宋体"/>
          <w:b/>
          <w:bCs/>
          <w:color w:val="auto"/>
          <w:sz w:val="24"/>
          <w:highlight w:val="none"/>
          <w:lang w:eastAsia="zh-CN"/>
        </w:rPr>
        <w:t>应在</w:t>
      </w:r>
      <w:r>
        <w:rPr>
          <w:rFonts w:hint="eastAsia" w:ascii="宋体" w:hAnsi="宋体"/>
          <w:b/>
          <w:bCs/>
          <w:color w:val="auto"/>
          <w:sz w:val="24"/>
          <w:highlight w:val="none"/>
        </w:rPr>
        <w:t>第一时间组织售后</w:t>
      </w:r>
      <w:r>
        <w:rPr>
          <w:rFonts w:hint="eastAsia" w:ascii="宋体" w:hAnsi="宋体"/>
          <w:b/>
          <w:bCs/>
          <w:color w:val="auto"/>
          <w:sz w:val="24"/>
          <w:highlight w:val="none"/>
        </w:rPr>
        <w:t>，</w:t>
      </w:r>
      <w:r>
        <w:rPr>
          <w:rFonts w:hint="eastAsia" w:ascii="宋体" w:hAnsi="宋体"/>
          <w:color w:val="auto"/>
          <w:sz w:val="24"/>
          <w:highlight w:val="none"/>
        </w:rPr>
        <w:t>在收到通知后24小时内（工作日内）到达现场与甲方技术人员/实际使用者沟通，如无法及时解决，乙方需在三天内向甲方提供相同型号</w:t>
      </w:r>
      <w:r>
        <w:rPr>
          <w:rFonts w:ascii="宋体" w:hAnsi="宋体"/>
          <w:color w:val="auto"/>
          <w:sz w:val="24"/>
          <w:highlight w:val="none"/>
        </w:rPr>
        <w:t>、</w:t>
      </w:r>
      <w:r>
        <w:rPr>
          <w:rFonts w:ascii="宋体" w:hAnsi="宋体"/>
          <w:color w:val="auto"/>
          <w:sz w:val="24"/>
          <w:highlight w:val="none"/>
        </w:rPr>
        <w:t>符合上述条件能够正常使用</w:t>
      </w:r>
      <w:r>
        <w:rPr>
          <w:rFonts w:ascii="宋体" w:hAnsi="宋体"/>
          <w:color w:val="auto"/>
          <w:sz w:val="24"/>
          <w:highlight w:val="none"/>
        </w:rPr>
        <w:t>的</w:t>
      </w:r>
      <w:r>
        <w:rPr>
          <w:rFonts w:hint="eastAsia" w:ascii="宋体" w:hAnsi="宋体"/>
          <w:color w:val="auto"/>
          <w:sz w:val="24"/>
          <w:highlight w:val="none"/>
        </w:rPr>
        <w:t>货物。</w:t>
      </w:r>
    </w:p>
    <w:p>
      <w:pPr>
        <w:numPr>
          <w:ilvl w:val="0"/>
          <w:numId w:val="1"/>
        </w:numPr>
        <w:spacing w:line="360" w:lineRule="auto"/>
        <w:ind w:left="602" w:hanging="602" w:hangingChars="250"/>
        <w:rPr>
          <w:rFonts w:ascii="宋体" w:hAnsi="宋体"/>
          <w:color w:val="auto"/>
          <w:sz w:val="24"/>
          <w:highlight w:val="none"/>
        </w:rPr>
      </w:pPr>
      <w:r>
        <w:rPr>
          <w:rFonts w:hint="eastAsia" w:ascii="宋体" w:hAnsi="宋体"/>
          <w:b/>
          <w:color w:val="auto"/>
          <w:sz w:val="24"/>
          <w:highlight w:val="none"/>
        </w:rPr>
        <w:t>验收</w:t>
      </w:r>
      <w:r>
        <w:rPr>
          <w:rFonts w:hint="eastAsia" w:ascii="宋体" w:hAnsi="宋体"/>
          <w:color w:val="auto"/>
          <w:sz w:val="24"/>
          <w:highlight w:val="none"/>
        </w:rPr>
        <w:t>：甲方负责货物清点和验收。乙方所提供的货物安装调试完成后，甲方必须按本合同所约定的货物清单及要求对货物的品牌、外观、规格、数量、技术资料及其他进行验收，乙方必须在验收现场提供必要的技术支持。</w:t>
      </w:r>
      <w:r>
        <w:rPr>
          <w:rFonts w:hint="eastAsia" w:ascii="宋体" w:hAnsi="宋体"/>
          <w:color w:val="auto"/>
          <w:sz w:val="24"/>
          <w:highlight w:val="none"/>
        </w:rPr>
        <w:t>如产生异议，甲乙双方协商解决，协商不成按法律程序解决。甲方有权暂停支付货款，直至异议解决。</w:t>
      </w:r>
    </w:p>
    <w:p>
      <w:pPr>
        <w:numPr>
          <w:ilvl w:val="0"/>
          <w:numId w:val="1"/>
        </w:numPr>
        <w:spacing w:line="360" w:lineRule="auto"/>
        <w:ind w:left="602" w:hanging="602" w:hangingChars="250"/>
        <w:rPr>
          <w:rFonts w:ascii="宋体" w:hAnsi="宋体"/>
          <w:color w:val="auto"/>
          <w:sz w:val="24"/>
          <w:highlight w:val="none"/>
        </w:rPr>
      </w:pPr>
      <w:r>
        <w:rPr>
          <w:rFonts w:hint="eastAsia" w:ascii="宋体" w:hAnsi="宋体"/>
          <w:b/>
          <w:color w:val="auto"/>
          <w:sz w:val="24"/>
          <w:highlight w:val="none"/>
        </w:rPr>
        <w:t xml:space="preserve"> 包装及运输</w:t>
      </w:r>
      <w:r>
        <w:rPr>
          <w:rFonts w:ascii="宋体" w:hAnsi="宋体"/>
          <w:b/>
          <w:color w:val="auto"/>
          <w:sz w:val="24"/>
          <w:highlight w:val="none"/>
        </w:rPr>
        <w:t>：</w:t>
      </w:r>
    </w:p>
    <w:p>
      <w:pPr>
        <w:spacing w:line="360" w:lineRule="auto"/>
        <w:ind w:firstLine="602" w:firstLineChars="250"/>
        <w:rPr>
          <w:rFonts w:ascii="宋体" w:hAnsi="宋体"/>
          <w:color w:val="auto"/>
          <w:sz w:val="24"/>
          <w:highlight w:val="none"/>
        </w:rPr>
      </w:pPr>
      <w:r>
        <w:rPr>
          <w:rFonts w:ascii="宋体" w:hAnsi="宋体"/>
          <w:b/>
          <w:color w:val="auto"/>
          <w:sz w:val="24"/>
          <w:highlight w:val="none"/>
        </w:rPr>
        <w:t>1、</w:t>
      </w:r>
      <w:r>
        <w:rPr>
          <w:rFonts w:hint="eastAsia" w:ascii="宋体" w:hAnsi="宋体"/>
          <w:color w:val="auto"/>
          <w:sz w:val="24"/>
          <w:highlight w:val="none"/>
        </w:rPr>
        <w:t>乙方提供的全部货物的包装应适应于长途运输、防潮、防震和经受合理装卸，确保货物安全无损运抵现场。运输方式由</w:t>
      </w:r>
      <w:r>
        <w:rPr>
          <w:rFonts w:hint="eastAsia" w:ascii="宋体" w:hAnsi="宋体"/>
          <w:color w:val="auto"/>
          <w:sz w:val="24"/>
          <w:highlight w:val="none"/>
        </w:rPr>
        <w:t>乙方自行决定</w:t>
      </w:r>
      <w:r>
        <w:rPr>
          <w:rFonts w:hint="eastAsia" w:ascii="宋体" w:hAnsi="宋体"/>
          <w:color w:val="auto"/>
          <w:sz w:val="24"/>
          <w:highlight w:val="none"/>
        </w:rPr>
        <w:t>，货物到达甲方后的收货事宜由</w:t>
      </w:r>
      <w:r>
        <w:rPr>
          <w:rFonts w:hint="eastAsia" w:ascii="宋体" w:hAnsi="宋体"/>
          <w:color w:val="auto"/>
          <w:sz w:val="24"/>
          <w:highlight w:val="none"/>
        </w:rPr>
        <w:t>乙方</w:t>
      </w:r>
      <w:r>
        <w:rPr>
          <w:rFonts w:hint="eastAsia" w:ascii="宋体" w:hAnsi="宋体"/>
          <w:color w:val="auto"/>
          <w:sz w:val="24"/>
          <w:highlight w:val="none"/>
        </w:rPr>
        <w:t>负责。由于包装不善或运输过程中所引起的货物损坏和损失均由乙方负责调换并承担全部费用。</w:t>
      </w:r>
    </w:p>
    <w:p>
      <w:pPr>
        <w:spacing w:line="360" w:lineRule="auto"/>
        <w:ind w:left="239" w:leftChars="114" w:firstLine="360" w:firstLineChars="150"/>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rPr>
        <w:t>安装调试</w:t>
      </w:r>
      <w:r>
        <w:rPr>
          <w:rFonts w:hint="eastAsia" w:ascii="宋体" w:hAnsi="宋体"/>
          <w:color w:val="auto"/>
          <w:sz w:val="24"/>
          <w:highlight w:val="none"/>
        </w:rPr>
        <w:t>并经验收</w:t>
      </w:r>
      <w:r>
        <w:rPr>
          <w:rFonts w:ascii="宋体" w:hAnsi="宋体"/>
          <w:color w:val="auto"/>
          <w:sz w:val="24"/>
          <w:highlight w:val="none"/>
        </w:rPr>
        <w:t>合格后，则为货物交付，货物交付前的一切</w:t>
      </w:r>
      <w:r>
        <w:rPr>
          <w:rFonts w:hint="eastAsia" w:ascii="宋体" w:hAnsi="宋体"/>
          <w:color w:val="auto"/>
          <w:sz w:val="24"/>
          <w:highlight w:val="none"/>
        </w:rPr>
        <w:t>风险</w:t>
      </w:r>
      <w:r>
        <w:rPr>
          <w:rFonts w:ascii="宋体" w:hAnsi="宋体"/>
          <w:color w:val="auto"/>
          <w:sz w:val="24"/>
          <w:highlight w:val="none"/>
        </w:rPr>
        <w:t>包括但不限于货物</w:t>
      </w:r>
      <w:r>
        <w:rPr>
          <w:rFonts w:hint="eastAsia" w:ascii="宋体" w:hAnsi="宋体"/>
          <w:color w:val="auto"/>
          <w:sz w:val="24"/>
          <w:highlight w:val="none"/>
        </w:rPr>
        <w:t>损坏、灭失</w:t>
      </w:r>
      <w:r>
        <w:rPr>
          <w:rFonts w:ascii="宋体" w:hAnsi="宋体"/>
          <w:color w:val="auto"/>
          <w:sz w:val="24"/>
          <w:highlight w:val="none"/>
        </w:rPr>
        <w:t>风险、用工风险均由乙方承担。</w:t>
      </w:r>
    </w:p>
    <w:p>
      <w:pPr>
        <w:numPr>
          <w:ilvl w:val="0"/>
          <w:numId w:val="2"/>
        </w:numPr>
        <w:spacing w:line="360" w:lineRule="auto"/>
        <w:rPr>
          <w:rFonts w:ascii="宋体" w:hAnsi="宋体"/>
          <w:color w:val="auto"/>
          <w:sz w:val="24"/>
          <w:highlight w:val="none"/>
        </w:rPr>
      </w:pPr>
      <w:r>
        <w:rPr>
          <w:rFonts w:hint="eastAsia" w:ascii="宋体" w:hAnsi="宋体"/>
          <w:b/>
          <w:color w:val="auto"/>
          <w:sz w:val="24"/>
          <w:highlight w:val="none"/>
        </w:rPr>
        <w:t>违约责任：</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如卖方未能按时交货（合同所规定的不可抗力因素除外），每推迟</w:t>
      </w:r>
      <w:r>
        <w:rPr>
          <w:rFonts w:hint="eastAsia" w:ascii="宋体" w:hAnsi="宋体"/>
          <w:color w:val="auto"/>
          <w:sz w:val="24"/>
          <w:highlight w:val="none"/>
          <w:lang w:val="en-US" w:eastAsia="zh-CN"/>
        </w:rPr>
        <w:t>5</w:t>
      </w:r>
      <w:r>
        <w:rPr>
          <w:rFonts w:hint="eastAsia" w:ascii="宋体" w:hAnsi="宋体"/>
          <w:color w:val="auto"/>
          <w:sz w:val="24"/>
          <w:highlight w:val="none"/>
        </w:rPr>
        <w:t>天，甲方将对乙方按合同总价款的0.1%进行处罚。若乙方在约定交货期限后</w:t>
      </w:r>
      <w:r>
        <w:rPr>
          <w:rFonts w:hint="eastAsia" w:ascii="宋体" w:hAnsi="宋体"/>
          <w:color w:val="auto"/>
          <w:sz w:val="24"/>
          <w:highlight w:val="none"/>
          <w:lang w:val="en-US" w:eastAsia="zh-CN"/>
        </w:rPr>
        <w:t>30</w:t>
      </w:r>
      <w:r>
        <w:rPr>
          <w:rFonts w:hint="eastAsia" w:ascii="宋体" w:hAnsi="宋体"/>
          <w:color w:val="auto"/>
          <w:sz w:val="24"/>
          <w:highlight w:val="none"/>
        </w:rPr>
        <w:t>日</w:t>
      </w:r>
      <w:r>
        <w:rPr>
          <w:rFonts w:hint="eastAsia" w:ascii="宋体" w:hAnsi="宋体"/>
          <w:color w:val="auto"/>
          <w:sz w:val="24"/>
          <w:highlight w:val="none"/>
        </w:rPr>
        <w:t>内仍不能交货，甲方有权</w:t>
      </w:r>
      <w:r>
        <w:rPr>
          <w:rFonts w:hint="eastAsia" w:ascii="宋体" w:hAnsi="宋体"/>
          <w:color w:val="auto"/>
          <w:sz w:val="24"/>
          <w:highlight w:val="none"/>
        </w:rPr>
        <w:t>解除</w:t>
      </w:r>
      <w:r>
        <w:rPr>
          <w:rFonts w:hint="eastAsia" w:ascii="宋体" w:hAnsi="宋体"/>
          <w:color w:val="auto"/>
          <w:sz w:val="24"/>
          <w:highlight w:val="none"/>
        </w:rPr>
        <w:t>合同，乙方需付给甲方合同总价款的10%作为违约金。</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若甲方未能在约定期限内付清应付货款（合同所规定的不可抗力因素除外），</w:t>
      </w:r>
      <w:r>
        <w:rPr>
          <w:rFonts w:hint="eastAsia" w:ascii="宋体" w:hAnsi="宋体"/>
          <w:color w:val="auto"/>
          <w:sz w:val="24"/>
          <w:highlight w:val="none"/>
        </w:rPr>
        <w:t>按照法定利息支付逾期付款违约金）</w:t>
      </w:r>
      <w:r>
        <w:rPr>
          <w:rFonts w:hint="eastAsia" w:ascii="宋体" w:hAnsi="宋体"/>
          <w:color w:val="auto"/>
          <w:sz w:val="24"/>
          <w:highlight w:val="none"/>
        </w:rPr>
        <w:t>。</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因货物的质量问题发生争议，由双方共同委托法定的技术鉴定单位进行质量鉴定。在接到甲方通知后5个工作日内，如乙方不予配合共同委托鉴定，甲方有权单方委托鉴定，鉴定意见作为双方解决纠纷的依据。经鉴定乙方所供货物存在质量问题的，乙方应承担法律和经济责任，除向甲方支付合同总价款百分之十违约金外，还应赔偿给甲方造成的全部损失。</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其他的违约责任按</w:t>
      </w:r>
      <w:r>
        <w:rPr>
          <w:rFonts w:ascii="宋体" w:hAnsi="宋体"/>
          <w:color w:val="auto"/>
          <w:sz w:val="24"/>
          <w:highlight w:val="none"/>
        </w:rPr>
        <w:t>《</w:t>
      </w:r>
      <w:r>
        <w:rPr>
          <w:rFonts w:hint="eastAsia" w:ascii="宋体" w:hAnsi="宋体"/>
          <w:color w:val="auto"/>
          <w:sz w:val="24"/>
          <w:highlight w:val="none"/>
        </w:rPr>
        <w:t>中华人民共和国</w:t>
      </w:r>
      <w:r>
        <w:rPr>
          <w:rFonts w:ascii="宋体" w:hAnsi="宋体"/>
          <w:color w:val="auto"/>
          <w:sz w:val="24"/>
          <w:highlight w:val="none"/>
        </w:rPr>
        <w:t>民法典</w:t>
      </w:r>
      <w:r>
        <w:rPr>
          <w:rFonts w:hint="eastAsia" w:ascii="宋体" w:hAnsi="宋体"/>
          <w:color w:val="auto"/>
          <w:sz w:val="24"/>
          <w:highlight w:val="none"/>
        </w:rPr>
        <w:t>》</w:t>
      </w:r>
      <w:r>
        <w:rPr>
          <w:rFonts w:ascii="宋体" w:hAnsi="宋体"/>
          <w:color w:val="auto"/>
          <w:sz w:val="24"/>
          <w:highlight w:val="none"/>
        </w:rPr>
        <w:t>及</w:t>
      </w:r>
      <w:r>
        <w:rPr>
          <w:rFonts w:hint="eastAsia" w:ascii="宋体" w:hAnsi="宋体"/>
          <w:color w:val="auto"/>
          <w:sz w:val="24"/>
          <w:highlight w:val="none"/>
        </w:rPr>
        <w:t>有关规定执行。</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不可抗力：若由于战争、严重的火灾、水灾、台风和地震以及其它经合同各方同意的属于不可抗力事故的影响，使合同的某一方不能履行其在合同项下的义务时，履行合同的期限应予延长。延长期限由合同各方共同商定。受事故影响的一方应在不可抗力发生后立即以传真方式告知其他合同方，并于事故发生后14天内将事故发生地的主管机关出具的事故证明书快递给其他合同方为证。</w:t>
      </w:r>
    </w:p>
    <w:p>
      <w:pPr>
        <w:numPr>
          <w:ilvl w:val="1"/>
          <w:numId w:val="2"/>
        </w:numPr>
        <w:tabs>
          <w:tab w:val="left" w:pos="540"/>
        </w:tabs>
        <w:spacing w:line="360" w:lineRule="auto"/>
        <w:ind w:left="540"/>
        <w:rPr>
          <w:rFonts w:ascii="宋体" w:hAnsi="宋体"/>
          <w:color w:val="auto"/>
          <w:sz w:val="24"/>
          <w:highlight w:val="none"/>
        </w:rPr>
      </w:pPr>
      <w:r>
        <w:rPr>
          <w:rFonts w:hint="eastAsia" w:ascii="宋体" w:hAnsi="宋体"/>
          <w:color w:val="auto"/>
          <w:sz w:val="24"/>
          <w:highlight w:val="none"/>
        </w:rPr>
        <w:t>争议解决办法：买卖双方本着友好协商的原则协商解决。协商不成提请</w:t>
      </w:r>
      <w:r>
        <w:rPr>
          <w:rFonts w:ascii="宋体" w:hAnsi="宋体"/>
          <w:color w:val="auto"/>
          <w:sz w:val="24"/>
          <w:highlight w:val="none"/>
        </w:rPr>
        <w:t>合同签订地</w:t>
      </w:r>
      <w:r>
        <w:rPr>
          <w:rFonts w:hint="eastAsia" w:ascii="宋体" w:hAnsi="宋体"/>
          <w:color w:val="auto"/>
          <w:sz w:val="24"/>
          <w:highlight w:val="none"/>
        </w:rPr>
        <w:t>法院裁决。</w:t>
      </w:r>
    </w:p>
    <w:p>
      <w:pPr>
        <w:numPr>
          <w:ilvl w:val="1"/>
          <w:numId w:val="2"/>
        </w:numPr>
        <w:tabs>
          <w:tab w:val="left" w:pos="540"/>
        </w:tabs>
        <w:spacing w:line="360" w:lineRule="auto"/>
        <w:ind w:left="540"/>
        <w:rPr>
          <w:rFonts w:ascii="宋体" w:hAnsi="宋体"/>
          <w:b/>
          <w:color w:val="auto"/>
          <w:sz w:val="24"/>
          <w:highlight w:val="none"/>
        </w:rPr>
      </w:pPr>
      <w:r>
        <w:rPr>
          <w:rFonts w:hint="eastAsia" w:ascii="宋体" w:hAnsi="宋体"/>
          <w:color w:val="auto"/>
          <w:sz w:val="24"/>
          <w:highlight w:val="none"/>
        </w:rPr>
        <w:t>其他约定事项：合同自双方都签字盖章之日起生效，并在各方履行完毕各自义务时终止。本合同一式</w:t>
      </w:r>
      <w:r>
        <w:rPr>
          <w:rFonts w:hint="eastAsia" w:ascii="宋体" w:hAnsi="宋体"/>
          <w:color w:val="auto"/>
          <w:sz w:val="24"/>
          <w:highlight w:val="none"/>
          <w:lang w:eastAsia="zh-CN"/>
        </w:rPr>
        <w:t>四</w:t>
      </w:r>
      <w:r>
        <w:rPr>
          <w:rFonts w:hint="eastAsia" w:ascii="宋体" w:hAnsi="宋体"/>
          <w:color w:val="auto"/>
          <w:sz w:val="24"/>
          <w:highlight w:val="none"/>
        </w:rPr>
        <w:t>份，甲乙双方各执</w:t>
      </w:r>
      <w:r>
        <w:rPr>
          <w:rFonts w:hint="eastAsia" w:ascii="宋体" w:hAnsi="宋体"/>
          <w:color w:val="auto"/>
          <w:sz w:val="24"/>
          <w:highlight w:val="none"/>
          <w:lang w:eastAsia="zh-CN"/>
        </w:rPr>
        <w:t>二</w:t>
      </w:r>
      <w:r>
        <w:rPr>
          <w:rFonts w:hint="eastAsia" w:ascii="宋体" w:hAnsi="宋体"/>
          <w:color w:val="auto"/>
          <w:sz w:val="24"/>
          <w:highlight w:val="none"/>
        </w:rPr>
        <w:t>份。如需修改或补充合同内容，修改或补充合同将作为本合同的组成部分。本合同附件作为合同不可分割的一部分，具有与合同同等的法律效力。</w:t>
      </w:r>
    </w:p>
    <w:p>
      <w:pPr>
        <w:spacing w:line="0" w:lineRule="atLeast"/>
        <w:rPr>
          <w:rFonts w:ascii="仿宋_GB2312" w:hAnsi="宋体" w:eastAsia="仿宋_GB2312"/>
          <w:color w:val="auto"/>
          <w:szCs w:val="21"/>
          <w:highlight w:val="none"/>
          <w:u w:val="single"/>
        </w:rPr>
      </w:pP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　甲  方</w:t>
      </w:r>
    </w:p>
    <w:p>
      <w:pPr>
        <w:framePr w:w="4726" w:hSpace="180" w:wrap="around" w:vAnchor="text" w:hAnchor="page" w:x="1366" w:y="664"/>
        <w:tabs>
          <w:tab w:val="left" w:pos="2730"/>
        </w:tabs>
        <w:spacing w:line="480" w:lineRule="auto"/>
        <w:ind w:right="-612"/>
        <w:rPr>
          <w:color w:val="auto"/>
          <w:sz w:val="24"/>
          <w:highlight w:val="none"/>
        </w:rPr>
      </w:pPr>
      <w:r>
        <w:rPr>
          <w:rFonts w:hint="eastAsia" w:ascii="宋体"/>
          <w:bCs/>
          <w:color w:val="auto"/>
          <w:sz w:val="24"/>
          <w:highlight w:val="none"/>
        </w:rPr>
        <w:t>单位名称（章）：</w:t>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单位地址：</w:t>
      </w:r>
      <w:r>
        <w:rPr>
          <w:rFonts w:hint="eastAsia" w:ascii="Trebuchet MS" w:hAnsi="Trebuchet MS"/>
          <w:color w:val="auto"/>
          <w:sz w:val="24"/>
          <w:highlight w:val="none"/>
          <w:shd w:val="clear" w:color="auto" w:fill="FFFFFF"/>
        </w:rPr>
        <w:tab/>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法定代表人或委托人（签字）：</w:t>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电话：</w:t>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传真：</w:t>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开户银行：</w:t>
      </w:r>
    </w:p>
    <w:p>
      <w:pPr>
        <w:framePr w:w="4726" w:hSpace="180" w:wrap="around" w:vAnchor="text" w:hAnchor="page" w:x="1366" w:y="664"/>
        <w:tabs>
          <w:tab w:val="left" w:pos="2730"/>
        </w:tabs>
        <w:spacing w:line="480" w:lineRule="auto"/>
        <w:ind w:right="-612"/>
        <w:rPr>
          <w:rFonts w:ascii="宋体"/>
          <w:bCs/>
          <w:color w:val="auto"/>
          <w:sz w:val="24"/>
          <w:highlight w:val="none"/>
        </w:rPr>
      </w:pPr>
      <w:r>
        <w:rPr>
          <w:rFonts w:hint="eastAsia" w:ascii="宋体"/>
          <w:bCs/>
          <w:color w:val="auto"/>
          <w:sz w:val="24"/>
          <w:highlight w:val="none"/>
        </w:rPr>
        <w:t>帐号：</w:t>
      </w:r>
    </w:p>
    <w:p>
      <w:pPr>
        <w:framePr w:w="4516" w:hSpace="180" w:wrap="around" w:vAnchor="text" w:hAnchor="page" w:x="6601" w:y="615"/>
        <w:tabs>
          <w:tab w:val="left" w:pos="2730"/>
        </w:tabs>
        <w:spacing w:line="480" w:lineRule="auto"/>
        <w:ind w:right="-613"/>
        <w:rPr>
          <w:rFonts w:ascii="宋体"/>
          <w:bCs/>
          <w:color w:val="auto"/>
          <w:sz w:val="24"/>
          <w:highlight w:val="none"/>
        </w:rPr>
      </w:pPr>
      <w:r>
        <w:rPr>
          <w:rFonts w:hint="eastAsia" w:ascii="宋体"/>
          <w:bCs/>
          <w:color w:val="auto"/>
          <w:sz w:val="24"/>
          <w:highlight w:val="none"/>
        </w:rPr>
        <w:t>　乙 方</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单位名称（章）：</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单位地址：</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法定代表人或委托人（签字）：</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电话：</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传真：</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开户银行：</w:t>
      </w:r>
    </w:p>
    <w:p>
      <w:pPr>
        <w:framePr w:w="4516" w:hSpace="180" w:wrap="around" w:vAnchor="text" w:hAnchor="page" w:x="6601" w:y="615"/>
        <w:tabs>
          <w:tab w:val="left" w:pos="2730"/>
        </w:tabs>
        <w:spacing w:line="480" w:lineRule="auto"/>
        <w:ind w:right="-612"/>
        <w:rPr>
          <w:rFonts w:ascii="宋体"/>
          <w:bCs/>
          <w:color w:val="auto"/>
          <w:sz w:val="24"/>
          <w:highlight w:val="none"/>
        </w:rPr>
      </w:pPr>
      <w:r>
        <w:rPr>
          <w:rFonts w:hint="eastAsia" w:ascii="宋体"/>
          <w:bCs/>
          <w:color w:val="auto"/>
          <w:sz w:val="24"/>
          <w:highlight w:val="none"/>
        </w:rPr>
        <w:t>帐号：</w:t>
      </w:r>
    </w:p>
    <w:p>
      <w:pPr>
        <w:framePr w:w="4516" w:hSpace="180" w:wrap="around" w:vAnchor="text" w:hAnchor="page" w:x="6601" w:y="615"/>
        <w:tabs>
          <w:tab w:val="left" w:pos="2730"/>
        </w:tabs>
        <w:spacing w:line="480" w:lineRule="auto"/>
        <w:ind w:right="-612"/>
        <w:rPr>
          <w:rFonts w:ascii="宋体"/>
          <w:bCs/>
          <w:color w:val="auto"/>
          <w:sz w:val="24"/>
          <w:highlight w:val="none"/>
        </w:rPr>
      </w:pPr>
    </w:p>
    <w:p>
      <w:pPr>
        <w:rPr>
          <w:rFonts w:eastAsia="楷体_GB2312"/>
          <w:color w:val="auto"/>
          <w:sz w:val="32"/>
          <w:highlight w:val="none"/>
        </w:rPr>
      </w:pPr>
    </w:p>
    <w:sectPr>
      <w:headerReference r:id="rId3" w:type="default"/>
      <w:pgSz w:w="11906" w:h="16838"/>
      <w:pgMar w:top="1440" w:right="92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楷体_GB2312">
    <w:altName w:val="楷体"/>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rPr>
        <w:rFonts w:ascii="宋体" w:hAnsi="宋体"/>
        <w:b/>
        <w:bCs/>
        <w:spacing w:val="24"/>
        <w:sz w:val="36"/>
        <w:szCs w:val="36"/>
      </w:rPr>
    </w:pPr>
  </w:p>
  <w:p>
    <w:r>
      <w:t>----------------------------------------------------------------------------------------------------------------------</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rPr>
        <w:rFonts w:hint="eastAsia" w:ascii="黑体" w:eastAsia="黑体"/>
        <w:lang w:val="en-US"/>
      </w:rPr>
    </w:lvl>
    <w:lvl w:ilvl="1" w:tentative="0">
      <w:start w:val="1"/>
      <w:numFmt w:val="decimal"/>
      <w:lvlText w:val="%2．"/>
      <w:lvlJc w:val="left"/>
      <w:pPr>
        <w:tabs>
          <w:tab w:val="left" w:pos="780"/>
        </w:tabs>
        <w:ind w:left="780" w:hanging="360"/>
      </w:pPr>
      <w:rPr>
        <w:rFonts w:hint="eastAsia" w:ascii="宋体" w:hAnsi="宋体" w:eastAsia="宋体"/>
        <w:b/>
      </w:rPr>
    </w:lvl>
    <w:lvl w:ilvl="2" w:tentative="0">
      <w:start w:val="1"/>
      <w:numFmt w:val="decimal"/>
      <w:lvlText w:val="%3、"/>
      <w:lvlJc w:val="left"/>
      <w:pPr>
        <w:tabs>
          <w:tab w:val="left" w:pos="360"/>
        </w:tabs>
        <w:ind w:left="360" w:hanging="360"/>
      </w:pPr>
      <w:rPr>
        <w:rFonts w:hint="default" w:ascii="Times New Roman" w:hAnsi="Times New Roman" w:eastAsia="黑体"/>
        <w:b/>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8"/>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59"/>
    <w:rsid w:val="000043D0"/>
    <w:rsid w:val="000143C5"/>
    <w:rsid w:val="00052125"/>
    <w:rsid w:val="00067BFD"/>
    <w:rsid w:val="000F0CA6"/>
    <w:rsid w:val="000F7507"/>
    <w:rsid w:val="0010628E"/>
    <w:rsid w:val="001233B9"/>
    <w:rsid w:val="00123FA0"/>
    <w:rsid w:val="00166B3D"/>
    <w:rsid w:val="00172A27"/>
    <w:rsid w:val="00193633"/>
    <w:rsid w:val="00236278"/>
    <w:rsid w:val="00262CD9"/>
    <w:rsid w:val="002663F1"/>
    <w:rsid w:val="00267F33"/>
    <w:rsid w:val="00285BFE"/>
    <w:rsid w:val="00317ED3"/>
    <w:rsid w:val="0032536B"/>
    <w:rsid w:val="00341A23"/>
    <w:rsid w:val="0034408D"/>
    <w:rsid w:val="003553A1"/>
    <w:rsid w:val="00371C0B"/>
    <w:rsid w:val="00373777"/>
    <w:rsid w:val="003A0925"/>
    <w:rsid w:val="003A54C4"/>
    <w:rsid w:val="003B706F"/>
    <w:rsid w:val="003F3104"/>
    <w:rsid w:val="0040088D"/>
    <w:rsid w:val="00401B90"/>
    <w:rsid w:val="00404A6A"/>
    <w:rsid w:val="00423DDB"/>
    <w:rsid w:val="00457F24"/>
    <w:rsid w:val="004A35FD"/>
    <w:rsid w:val="004C3CA8"/>
    <w:rsid w:val="004D554F"/>
    <w:rsid w:val="004E4297"/>
    <w:rsid w:val="005076C7"/>
    <w:rsid w:val="005172A3"/>
    <w:rsid w:val="00556A97"/>
    <w:rsid w:val="0058239C"/>
    <w:rsid w:val="00595D0E"/>
    <w:rsid w:val="005E18E6"/>
    <w:rsid w:val="006351CC"/>
    <w:rsid w:val="006604E3"/>
    <w:rsid w:val="00672314"/>
    <w:rsid w:val="006A1981"/>
    <w:rsid w:val="006B7C14"/>
    <w:rsid w:val="006C7FB5"/>
    <w:rsid w:val="006F225B"/>
    <w:rsid w:val="006F3AD7"/>
    <w:rsid w:val="00700CFA"/>
    <w:rsid w:val="007050D8"/>
    <w:rsid w:val="0070636A"/>
    <w:rsid w:val="00731D3E"/>
    <w:rsid w:val="00733E7F"/>
    <w:rsid w:val="007349D9"/>
    <w:rsid w:val="0074288A"/>
    <w:rsid w:val="00750AB0"/>
    <w:rsid w:val="00750DD7"/>
    <w:rsid w:val="00770D86"/>
    <w:rsid w:val="00775FBD"/>
    <w:rsid w:val="007A1B44"/>
    <w:rsid w:val="007D34A1"/>
    <w:rsid w:val="00806E88"/>
    <w:rsid w:val="00886470"/>
    <w:rsid w:val="008A7614"/>
    <w:rsid w:val="008E106C"/>
    <w:rsid w:val="00906E0A"/>
    <w:rsid w:val="0091164A"/>
    <w:rsid w:val="00912E26"/>
    <w:rsid w:val="00915169"/>
    <w:rsid w:val="0092039F"/>
    <w:rsid w:val="00925B3D"/>
    <w:rsid w:val="009265B0"/>
    <w:rsid w:val="00927062"/>
    <w:rsid w:val="00932D00"/>
    <w:rsid w:val="00941033"/>
    <w:rsid w:val="0096223E"/>
    <w:rsid w:val="009B788F"/>
    <w:rsid w:val="009D01F8"/>
    <w:rsid w:val="009D203C"/>
    <w:rsid w:val="009D4384"/>
    <w:rsid w:val="009D7856"/>
    <w:rsid w:val="00A03178"/>
    <w:rsid w:val="00A36A6E"/>
    <w:rsid w:val="00A56890"/>
    <w:rsid w:val="00A84124"/>
    <w:rsid w:val="00AD11AD"/>
    <w:rsid w:val="00AD64BF"/>
    <w:rsid w:val="00AE119B"/>
    <w:rsid w:val="00AE3B7A"/>
    <w:rsid w:val="00AE6CE2"/>
    <w:rsid w:val="00B56DA7"/>
    <w:rsid w:val="00B9187D"/>
    <w:rsid w:val="00B94ACB"/>
    <w:rsid w:val="00BA7E09"/>
    <w:rsid w:val="00BC2599"/>
    <w:rsid w:val="00BC7CB9"/>
    <w:rsid w:val="00BE1426"/>
    <w:rsid w:val="00BF4D8B"/>
    <w:rsid w:val="00C12D51"/>
    <w:rsid w:val="00C36233"/>
    <w:rsid w:val="00C52EE7"/>
    <w:rsid w:val="00C55DB6"/>
    <w:rsid w:val="00C561EF"/>
    <w:rsid w:val="00C62D04"/>
    <w:rsid w:val="00C9664A"/>
    <w:rsid w:val="00CB1769"/>
    <w:rsid w:val="00CE02D7"/>
    <w:rsid w:val="00D06DCA"/>
    <w:rsid w:val="00D61C53"/>
    <w:rsid w:val="00D83076"/>
    <w:rsid w:val="00D83F4D"/>
    <w:rsid w:val="00DB4076"/>
    <w:rsid w:val="00DB55AA"/>
    <w:rsid w:val="00DE6D56"/>
    <w:rsid w:val="00E10D97"/>
    <w:rsid w:val="00E138FE"/>
    <w:rsid w:val="00E144ED"/>
    <w:rsid w:val="00E271B9"/>
    <w:rsid w:val="00E2724D"/>
    <w:rsid w:val="00E52371"/>
    <w:rsid w:val="00E601F3"/>
    <w:rsid w:val="00E6767B"/>
    <w:rsid w:val="00E711D8"/>
    <w:rsid w:val="00EA473D"/>
    <w:rsid w:val="00EE25EE"/>
    <w:rsid w:val="00EF493A"/>
    <w:rsid w:val="00F12C59"/>
    <w:rsid w:val="00F43796"/>
    <w:rsid w:val="00F44E58"/>
    <w:rsid w:val="00F44FD5"/>
    <w:rsid w:val="00F50906"/>
    <w:rsid w:val="00F65FF5"/>
    <w:rsid w:val="00F73AC2"/>
    <w:rsid w:val="00F763C3"/>
    <w:rsid w:val="00F855D1"/>
    <w:rsid w:val="00FB0A9F"/>
    <w:rsid w:val="00FB6782"/>
    <w:rsid w:val="00FE0E43"/>
    <w:rsid w:val="02E91753"/>
    <w:rsid w:val="0501292C"/>
    <w:rsid w:val="05D52127"/>
    <w:rsid w:val="09E67463"/>
    <w:rsid w:val="0E9C1662"/>
    <w:rsid w:val="150734F7"/>
    <w:rsid w:val="1A5A7952"/>
    <w:rsid w:val="1EB74D16"/>
    <w:rsid w:val="2217062F"/>
    <w:rsid w:val="278A639F"/>
    <w:rsid w:val="2B1E011E"/>
    <w:rsid w:val="2DB404E2"/>
    <w:rsid w:val="2DE52968"/>
    <w:rsid w:val="2DE53861"/>
    <w:rsid w:val="3ECE3ACA"/>
    <w:rsid w:val="423D1E0B"/>
    <w:rsid w:val="432B7BE7"/>
    <w:rsid w:val="473B437C"/>
    <w:rsid w:val="487B417E"/>
    <w:rsid w:val="49027614"/>
    <w:rsid w:val="747E3CEB"/>
    <w:rsid w:val="74E05356"/>
    <w:rsid w:val="7A9F3A31"/>
    <w:rsid w:val="7B9D3A19"/>
    <w:rsid w:val="7F267960"/>
    <w:rsid w:val="7FFE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940" w:firstLineChars="398"/>
      <w:outlineLvl w:val="0"/>
    </w:pPr>
    <w:rPr>
      <w:b/>
      <w:bCs/>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正文文本缩进 Char"/>
    <w:basedOn w:val="7"/>
    <w:link w:val="12"/>
    <w:qFormat/>
    <w:uiPriority w:val="0"/>
    <w:rPr>
      <w:kern w:val="2"/>
      <w:sz w:val="21"/>
    </w:rPr>
  </w:style>
  <w:style w:type="paragraph" w:customStyle="1" w:styleId="12">
    <w:name w:val="正文文本缩进1"/>
    <w:basedOn w:val="1"/>
    <w:link w:val="11"/>
    <w:qFormat/>
    <w:uiPriority w:val="0"/>
    <w:pPr>
      <w:ind w:firstLine="420" w:firstLineChars="200"/>
    </w:pPr>
  </w:style>
  <w:style w:type="paragraph" w:customStyle="1" w:styleId="13">
    <w:name w:val="Table Paragraph"/>
    <w:basedOn w:val="1"/>
    <w:qFormat/>
    <w:uiPriority w:val="1"/>
    <w:pPr>
      <w:autoSpaceDE w:val="0"/>
      <w:autoSpaceDN w:val="0"/>
      <w:spacing w:before="84"/>
      <w:ind w:left="464"/>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334</Words>
  <Characters>1910</Characters>
  <Lines>15</Lines>
  <Paragraphs>4</Paragraphs>
  <TotalTime>13</TotalTime>
  <ScaleCrop>false</ScaleCrop>
  <LinksUpToDate>false</LinksUpToDate>
  <CharactersWithSpaces>2240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2019-03-25T13:36:00Z</dcterms:created>
  <dc:creator>njjk</dc:creator>
  <cp:lastModifiedBy>Administrator</cp:lastModifiedBy>
  <cp:lastPrinted>2017-10-16T16:29:00Z</cp:lastPrinted>
  <dcterms:modified xsi:type="dcterms:W3CDTF">2021-03-04T12:21:20Z</dcterms:modified>
  <dc:title>询 价 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